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7</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w:t>
      </w:r>
      <w:r>
        <w:rPr>
          <w:rFonts w:hint="eastAsia" w:ascii="Times New Roman" w:hAnsi="Times New Roman" w:eastAsia="宋体"/>
          <w:b/>
          <w:sz w:val="28"/>
          <w:szCs w:val="28"/>
          <w:lang w:val="en-US" w:eastAsia="zh-CN"/>
        </w:rPr>
        <w:t>50735</w:t>
      </w:r>
      <w:bookmarkStart w:id="2" w:name="_GoBack"/>
      <w:bookmarkEnd w:id="2"/>
    </w:p>
    <w:p>
      <w:pPr>
        <w:pStyle w:val="37"/>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w:t>
      </w:r>
      <w:r>
        <w:rPr>
          <w:rFonts w:hint="eastAsia" w:ascii="Times New Roman" w:hAnsi="Times New Roman" w:eastAsia="宋体"/>
          <w:sz w:val="28"/>
          <w:szCs w:val="28"/>
          <w:lang w:val="en-US" w:eastAsia="zh-CN"/>
        </w:rPr>
        <w:t>7</w:t>
      </w:r>
      <w:r>
        <w:rPr>
          <w:rFonts w:hint="eastAsia" w:ascii="Times New Roman" w:hAnsi="Times New Roman" w:eastAsia="宋体"/>
          <w:sz w:val="28"/>
          <w:szCs w:val="28"/>
          <w:lang w:eastAsia="ko-KR"/>
        </w:rPr>
        <w:t>th – 2</w:t>
      </w:r>
      <w:r>
        <w:rPr>
          <w:rFonts w:hint="eastAsia" w:ascii="Times New Roman" w:hAnsi="Times New Roman" w:eastAsia="宋体"/>
          <w:sz w:val="28"/>
          <w:szCs w:val="28"/>
          <w:lang w:val="en-US" w:eastAsia="zh-CN"/>
        </w:rPr>
        <w:t>1</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Feb</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Athens, Greece</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Time-based CHO Optimization for NTN network</w:t>
      </w:r>
    </w:p>
    <w:p>
      <w:pPr>
        <w:rPr>
          <w:rFonts w:ascii="Times New Roman" w:hAnsi="Times New Roman"/>
          <w:lang w:val="en-US"/>
        </w:rPr>
      </w:pPr>
      <w:r>
        <w:rPr>
          <w:rFonts w:hint="eastAsia" w:ascii="Times New Roman" w:hAnsi="Times New Roman"/>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p>
    <w:p>
      <w:pPr>
        <w:rPr>
          <w:rFonts w:ascii="Times New Roman" w:hAnsi="Times New Roman"/>
          <w:lang w:val="en-US"/>
        </w:rPr>
      </w:pP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ascii="Times New Roman" w:hAnsi="Times New Roman"/>
          <w:lang w:val="en-US"/>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hint="default" w:ascii="Times New Roman" w:hAnsi="Times New Roman" w:eastAsia="宋体"/>
          <w:b/>
          <w:sz w:val="22"/>
          <w:szCs w:val="22"/>
          <w:lang w:val="en-US" w:eastAsia="zh-CN"/>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rPr>
          <w:rFonts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Measurement Enhancement for NTN Network</w:t>
      </w:r>
      <w:r>
        <w:rPr>
          <w:rFonts w:hint="eastAsia" w:ascii="Times New Roman" w:hAnsi="Times New Roman" w:cs="Times New Roman"/>
          <w:lang w:val="en-US"/>
        </w:rPr>
        <w:t xml:space="preserve"> </w:t>
      </w:r>
    </w:p>
    <w:p>
      <w:pPr>
        <w:jc w:val="left"/>
        <w:rPr>
          <w:rFonts w:hint="eastAsia" w:ascii="Times New Roman" w:hAnsi="Times New Roman" w:eastAsia="等线"/>
          <w:lang w:val="en-US" w:eastAsia="zh-CN"/>
        </w:rPr>
      </w:pPr>
      <w:r>
        <w:rPr>
          <w:rFonts w:hint="eastAsia" w:ascii="Times New Roman" w:hAnsi="Times New Roman" w:eastAsia="等线"/>
          <w:lang w:val="en-US" w:eastAsia="zh-CN"/>
        </w:rPr>
        <w:t>In RAN3#126 meeting, there is the following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5"/>
              <w:rPr>
                <w:rFonts w:hint="default" w:ascii="Times New Roman" w:hAnsi="Times New Roman" w:eastAsia="等线"/>
                <w:vertAlign w:val="baseline"/>
                <w:lang w:val="en-US" w:eastAsia="zh-CN"/>
              </w:rPr>
            </w:pPr>
            <w:r>
              <w:rPr>
                <w:rFonts w:ascii="Calibri" w:hAnsi="Calibri" w:eastAsia="MS Mincho" w:cs="Calibri"/>
                <w:i/>
                <w:iCs/>
                <w:color w:val="00B050"/>
                <w:kern w:val="2"/>
                <w:sz w:val="16"/>
                <w:szCs w:val="16"/>
                <w:lang w:val="en-US"/>
              </w:rPr>
              <w:t>RAN3 assumes both geographical area and the mapped cell ID as Area Scope of logged MDT for NTN over NGAP are feasible and confirm with RAN2 whether the geographical area defined for MBS NTN can be reused for MDT NTN.</w:t>
            </w:r>
          </w:p>
        </w:tc>
      </w:tr>
    </w:tbl>
    <w:p>
      <w:pPr>
        <w:jc w:val="left"/>
        <w:rPr>
          <w:rFonts w:hint="default" w:ascii="Times New Roman" w:hAnsi="Times New Roman" w:eastAsia="等线"/>
          <w:lang w:val="en-US" w:eastAsia="zh-CN"/>
        </w:rPr>
      </w:pPr>
    </w:p>
    <w:p>
      <w:pPr>
        <w:jc w:val="left"/>
        <w:rPr>
          <w:rFonts w:hint="eastAsia" w:ascii="Times New Roman" w:hAnsi="Times New Roman" w:eastAsia="等线"/>
          <w:lang w:val="en-US" w:eastAsia="zh-CN"/>
        </w:rPr>
      </w:pPr>
      <w:r>
        <w:rPr>
          <w:rFonts w:hint="eastAsia" w:ascii="Times New Roman" w:hAnsi="Times New Roman" w:eastAsia="等线"/>
          <w:lang w:val="en-US" w:eastAsia="zh-CN"/>
        </w:rPr>
        <w:t>For the geographical area definition, the  MBS NTN can be reused for MDT NTN. RAN2 agreed the following proposal in R2-2410638: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80"/>
              <w:rPr>
                <w:rFonts w:hint="default" w:ascii="Times New Roman" w:hAnsi="Times New Roman" w:eastAsia="等线"/>
                <w:vertAlign w:val="baseline"/>
                <w:lang w:val="en-US" w:eastAsia="zh-CN"/>
              </w:rPr>
            </w:pPr>
            <w:r>
              <w:t>Proposal 1: The encoding of TN coverage introduced in Rel-18 in TS38.331, including tn-ReferenceLocation-r18 and tn-DistanceRadius-r18, is reused for the geographical area of the circle.</w:t>
            </w:r>
          </w:p>
        </w:tc>
      </w:tr>
    </w:tbl>
    <w:p>
      <w:pPr>
        <w:jc w:val="left"/>
        <w:rPr>
          <w:rFonts w:hint="default" w:ascii="Times New Roman" w:hAnsi="Times New Roman" w:eastAsia="等线"/>
          <w:lang w:val="en-US" w:eastAsia="zh-CN"/>
        </w:rPr>
      </w:pP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 xml:space="preserve">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 interface</w:t>
      </w:r>
      <w:r>
        <w:rPr>
          <w:rFonts w:hint="eastAsia" w:ascii="Times New Roman" w:hAnsi="Times New Roman" w:eastAsia="等线"/>
          <w:b/>
          <w:sz w:val="22"/>
          <w:szCs w:val="22"/>
          <w:lang w:val="en-US"/>
        </w:rPr>
        <w:t>.</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w:t>
      </w:r>
      <w:r>
        <w:rPr>
          <w:rFonts w:hint="eastAsia" w:ascii="Times New Roman" w:hAnsi="Times New Roman" w:eastAsia="等线"/>
          <w:b/>
          <w:sz w:val="22"/>
          <w:szCs w:val="22"/>
          <w:lang w:val="en-US" w:eastAsia="zh-CN"/>
        </w:rPr>
        <w:t xml:space="preserve"> 2</w:t>
      </w:r>
      <w:r>
        <w:rPr>
          <w:rFonts w:hint="eastAsia" w:ascii="Times New Roman" w:hAnsi="Times New Roman" w:eastAsia="等线"/>
          <w:b/>
          <w:sz w:val="22"/>
          <w:szCs w:val="22"/>
          <w:lang w:val="en-US"/>
        </w:rPr>
        <w:t>: The UE can record and report the handover time</w:t>
      </w:r>
      <w:r>
        <w:rPr>
          <w:rFonts w:hint="eastAsia" w:ascii="Times New Roman" w:hAnsi="Times New Roman" w:eastAsia="等线"/>
          <w:b/>
          <w:sz w:val="22"/>
          <w:szCs w:val="22"/>
          <w:lang w:val="en-US" w:eastAsia="zh-CN"/>
        </w:rPr>
        <w:t xml:space="preserve"> and </w:t>
      </w:r>
      <w:r>
        <w:rPr>
          <w:rFonts w:hint="eastAsia" w:ascii="Times New Roman" w:hAnsi="Times New Roman" w:eastAsia="等线"/>
          <w:b/>
          <w:sz w:val="22"/>
          <w:szCs w:val="22"/>
          <w:lang w:val="en-US"/>
        </w:rPr>
        <w:t>time-based CHO related information to the gNB when the condition for the UE to report the time-based CHO related information if satisfied.</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 interface</w:t>
      </w:r>
      <w:r>
        <w:rPr>
          <w:rFonts w:hint="eastAsia" w:ascii="Times New Roman" w:hAnsi="Times New Roman" w:eastAsia="等线"/>
          <w:b/>
          <w:sz w:val="22"/>
          <w:szCs w:val="22"/>
          <w:lang w:val="en-US"/>
        </w:rPr>
        <w: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12B557D"/>
    <w:rsid w:val="029F73E5"/>
    <w:rsid w:val="02AD6001"/>
    <w:rsid w:val="047658C1"/>
    <w:rsid w:val="05C173E2"/>
    <w:rsid w:val="06343D3A"/>
    <w:rsid w:val="0637581D"/>
    <w:rsid w:val="064B2561"/>
    <w:rsid w:val="06D95A30"/>
    <w:rsid w:val="06DA77A3"/>
    <w:rsid w:val="07A405F8"/>
    <w:rsid w:val="08327D56"/>
    <w:rsid w:val="09280C53"/>
    <w:rsid w:val="093667F2"/>
    <w:rsid w:val="09542584"/>
    <w:rsid w:val="09754B87"/>
    <w:rsid w:val="09D72C99"/>
    <w:rsid w:val="0A515634"/>
    <w:rsid w:val="0A6708C6"/>
    <w:rsid w:val="0B5F6E5D"/>
    <w:rsid w:val="0BD95AE1"/>
    <w:rsid w:val="0C167197"/>
    <w:rsid w:val="0C1C61E1"/>
    <w:rsid w:val="0D9D1A98"/>
    <w:rsid w:val="0E016BCE"/>
    <w:rsid w:val="0E845DBA"/>
    <w:rsid w:val="0ECF5841"/>
    <w:rsid w:val="0F0D3C1D"/>
    <w:rsid w:val="0F525467"/>
    <w:rsid w:val="0F8B024A"/>
    <w:rsid w:val="10765DAF"/>
    <w:rsid w:val="114E554D"/>
    <w:rsid w:val="12B23BCF"/>
    <w:rsid w:val="12B45C75"/>
    <w:rsid w:val="12EA0D64"/>
    <w:rsid w:val="13196509"/>
    <w:rsid w:val="13392E6D"/>
    <w:rsid w:val="14083326"/>
    <w:rsid w:val="141041EA"/>
    <w:rsid w:val="144C30DB"/>
    <w:rsid w:val="14576AE2"/>
    <w:rsid w:val="14764DB5"/>
    <w:rsid w:val="14903489"/>
    <w:rsid w:val="14F252D8"/>
    <w:rsid w:val="1566708C"/>
    <w:rsid w:val="15DF37C9"/>
    <w:rsid w:val="176743D6"/>
    <w:rsid w:val="17A44BF8"/>
    <w:rsid w:val="181165A8"/>
    <w:rsid w:val="18650326"/>
    <w:rsid w:val="18864252"/>
    <w:rsid w:val="195F468B"/>
    <w:rsid w:val="197A336A"/>
    <w:rsid w:val="19E57B15"/>
    <w:rsid w:val="19E71B2E"/>
    <w:rsid w:val="1A134E88"/>
    <w:rsid w:val="1A5D4B06"/>
    <w:rsid w:val="1B0061FE"/>
    <w:rsid w:val="1B245BD9"/>
    <w:rsid w:val="1B545DD1"/>
    <w:rsid w:val="1C1E5D3E"/>
    <w:rsid w:val="1C2516BD"/>
    <w:rsid w:val="1C96690B"/>
    <w:rsid w:val="1CDF3A25"/>
    <w:rsid w:val="1D4961E3"/>
    <w:rsid w:val="1D853A61"/>
    <w:rsid w:val="1DA71FEA"/>
    <w:rsid w:val="1E02135B"/>
    <w:rsid w:val="1EF4547D"/>
    <w:rsid w:val="1F6F52B2"/>
    <w:rsid w:val="1F8B4261"/>
    <w:rsid w:val="1F9B7FFA"/>
    <w:rsid w:val="2014062E"/>
    <w:rsid w:val="20736888"/>
    <w:rsid w:val="219A5455"/>
    <w:rsid w:val="21C65381"/>
    <w:rsid w:val="22C20E17"/>
    <w:rsid w:val="23917DB2"/>
    <w:rsid w:val="23C925DD"/>
    <w:rsid w:val="24291700"/>
    <w:rsid w:val="247F06C6"/>
    <w:rsid w:val="24E56C29"/>
    <w:rsid w:val="25474356"/>
    <w:rsid w:val="258D731A"/>
    <w:rsid w:val="264A3505"/>
    <w:rsid w:val="27032E99"/>
    <w:rsid w:val="27DF4678"/>
    <w:rsid w:val="28882F1E"/>
    <w:rsid w:val="295419DA"/>
    <w:rsid w:val="2A742F48"/>
    <w:rsid w:val="2A947DE8"/>
    <w:rsid w:val="2B066FED"/>
    <w:rsid w:val="2B345733"/>
    <w:rsid w:val="2B3F72B2"/>
    <w:rsid w:val="2B4F306B"/>
    <w:rsid w:val="2C2A441E"/>
    <w:rsid w:val="2CE03230"/>
    <w:rsid w:val="2CE772AC"/>
    <w:rsid w:val="2D6064CB"/>
    <w:rsid w:val="2DC34503"/>
    <w:rsid w:val="2DCC4600"/>
    <w:rsid w:val="2E0F14FA"/>
    <w:rsid w:val="2E6D0438"/>
    <w:rsid w:val="2F6621DF"/>
    <w:rsid w:val="30051A6D"/>
    <w:rsid w:val="303710CE"/>
    <w:rsid w:val="30396A8B"/>
    <w:rsid w:val="30761D31"/>
    <w:rsid w:val="308568A9"/>
    <w:rsid w:val="30975B8A"/>
    <w:rsid w:val="30BE3A29"/>
    <w:rsid w:val="31725574"/>
    <w:rsid w:val="31EC2B3A"/>
    <w:rsid w:val="32491D2C"/>
    <w:rsid w:val="33763029"/>
    <w:rsid w:val="33903E05"/>
    <w:rsid w:val="33F610A2"/>
    <w:rsid w:val="34C07321"/>
    <w:rsid w:val="357339D9"/>
    <w:rsid w:val="35A10BB2"/>
    <w:rsid w:val="36273A23"/>
    <w:rsid w:val="36310C28"/>
    <w:rsid w:val="368461D9"/>
    <w:rsid w:val="376A5776"/>
    <w:rsid w:val="38C9453B"/>
    <w:rsid w:val="3AE31128"/>
    <w:rsid w:val="3BB67D8A"/>
    <w:rsid w:val="3BD031AE"/>
    <w:rsid w:val="3C9669FD"/>
    <w:rsid w:val="3CA45F55"/>
    <w:rsid w:val="3CE90899"/>
    <w:rsid w:val="3CED5BAF"/>
    <w:rsid w:val="3D0A362A"/>
    <w:rsid w:val="3D1614A1"/>
    <w:rsid w:val="3D38754C"/>
    <w:rsid w:val="3E5759FF"/>
    <w:rsid w:val="3ED734A6"/>
    <w:rsid w:val="3F5546BC"/>
    <w:rsid w:val="402D038F"/>
    <w:rsid w:val="42012F38"/>
    <w:rsid w:val="422C2522"/>
    <w:rsid w:val="42AC253D"/>
    <w:rsid w:val="43266FB8"/>
    <w:rsid w:val="434137C7"/>
    <w:rsid w:val="436E5A44"/>
    <w:rsid w:val="43AC0714"/>
    <w:rsid w:val="44EA1B73"/>
    <w:rsid w:val="45E5452A"/>
    <w:rsid w:val="467A24AA"/>
    <w:rsid w:val="46A86D90"/>
    <w:rsid w:val="46D90081"/>
    <w:rsid w:val="4701694A"/>
    <w:rsid w:val="47275B26"/>
    <w:rsid w:val="47B36DD3"/>
    <w:rsid w:val="485D03D4"/>
    <w:rsid w:val="48A20BD5"/>
    <w:rsid w:val="48C63DF7"/>
    <w:rsid w:val="4A211593"/>
    <w:rsid w:val="4A380165"/>
    <w:rsid w:val="4C1134F9"/>
    <w:rsid w:val="4C7B6F8F"/>
    <w:rsid w:val="4C9674B8"/>
    <w:rsid w:val="4D7467B7"/>
    <w:rsid w:val="4D833A88"/>
    <w:rsid w:val="4E0C3F18"/>
    <w:rsid w:val="4E89472F"/>
    <w:rsid w:val="4EBC6B68"/>
    <w:rsid w:val="4F71072F"/>
    <w:rsid w:val="4FAD5B31"/>
    <w:rsid w:val="50BD3C7B"/>
    <w:rsid w:val="50E86898"/>
    <w:rsid w:val="523773C7"/>
    <w:rsid w:val="526367E1"/>
    <w:rsid w:val="53AB0651"/>
    <w:rsid w:val="545123F3"/>
    <w:rsid w:val="54983290"/>
    <w:rsid w:val="55A8352D"/>
    <w:rsid w:val="55F253B9"/>
    <w:rsid w:val="5638192A"/>
    <w:rsid w:val="574122DC"/>
    <w:rsid w:val="576D087E"/>
    <w:rsid w:val="576F342B"/>
    <w:rsid w:val="577069D1"/>
    <w:rsid w:val="57835EA0"/>
    <w:rsid w:val="58E82118"/>
    <w:rsid w:val="596C02F9"/>
    <w:rsid w:val="59BC4ED0"/>
    <w:rsid w:val="59D26DFF"/>
    <w:rsid w:val="5AEC74F8"/>
    <w:rsid w:val="5B7079CB"/>
    <w:rsid w:val="5BB75007"/>
    <w:rsid w:val="5BB869BF"/>
    <w:rsid w:val="5C007DBB"/>
    <w:rsid w:val="5C7143C6"/>
    <w:rsid w:val="5C89106A"/>
    <w:rsid w:val="5CC8203E"/>
    <w:rsid w:val="5D5C1E8F"/>
    <w:rsid w:val="5D956F8F"/>
    <w:rsid w:val="5DF77DE0"/>
    <w:rsid w:val="5E4A6AD5"/>
    <w:rsid w:val="5EFC2F85"/>
    <w:rsid w:val="6045177F"/>
    <w:rsid w:val="605807A0"/>
    <w:rsid w:val="606C0263"/>
    <w:rsid w:val="60A93A22"/>
    <w:rsid w:val="60C3026A"/>
    <w:rsid w:val="61697F23"/>
    <w:rsid w:val="61A05944"/>
    <w:rsid w:val="629C6943"/>
    <w:rsid w:val="629F20B6"/>
    <w:rsid w:val="62A81BE8"/>
    <w:rsid w:val="62B870A2"/>
    <w:rsid w:val="638C4A5F"/>
    <w:rsid w:val="639221EC"/>
    <w:rsid w:val="639A253E"/>
    <w:rsid w:val="660C196D"/>
    <w:rsid w:val="6648015B"/>
    <w:rsid w:val="66BD4EB0"/>
    <w:rsid w:val="67377D9D"/>
    <w:rsid w:val="676A48B2"/>
    <w:rsid w:val="67B54588"/>
    <w:rsid w:val="68447078"/>
    <w:rsid w:val="690C40F8"/>
    <w:rsid w:val="69862E6A"/>
    <w:rsid w:val="69A17C70"/>
    <w:rsid w:val="69B47A66"/>
    <w:rsid w:val="69FA2796"/>
    <w:rsid w:val="6AB71C62"/>
    <w:rsid w:val="6B046F2A"/>
    <w:rsid w:val="6B215468"/>
    <w:rsid w:val="6B380F1E"/>
    <w:rsid w:val="6BE50B5D"/>
    <w:rsid w:val="6BF46DFE"/>
    <w:rsid w:val="6C6F6E6F"/>
    <w:rsid w:val="6CC668DB"/>
    <w:rsid w:val="6CEE7C83"/>
    <w:rsid w:val="6D2677FC"/>
    <w:rsid w:val="6D78120A"/>
    <w:rsid w:val="6DB11FE5"/>
    <w:rsid w:val="6E6F0038"/>
    <w:rsid w:val="6EE451C4"/>
    <w:rsid w:val="6FA50228"/>
    <w:rsid w:val="6FB1567A"/>
    <w:rsid w:val="6FB3012E"/>
    <w:rsid w:val="6FBD2ED4"/>
    <w:rsid w:val="6FDB386D"/>
    <w:rsid w:val="708E3A22"/>
    <w:rsid w:val="70AC7FE9"/>
    <w:rsid w:val="70B043B6"/>
    <w:rsid w:val="711E0693"/>
    <w:rsid w:val="71495CC8"/>
    <w:rsid w:val="72374BF5"/>
    <w:rsid w:val="729D729D"/>
    <w:rsid w:val="73777B6B"/>
    <w:rsid w:val="73E71E91"/>
    <w:rsid w:val="74094628"/>
    <w:rsid w:val="74887764"/>
    <w:rsid w:val="74D63C4F"/>
    <w:rsid w:val="75B37F8A"/>
    <w:rsid w:val="75C62219"/>
    <w:rsid w:val="76B3299C"/>
    <w:rsid w:val="76D7666E"/>
    <w:rsid w:val="76F21588"/>
    <w:rsid w:val="775F4455"/>
    <w:rsid w:val="78A4596C"/>
    <w:rsid w:val="78F628DA"/>
    <w:rsid w:val="791259C0"/>
    <w:rsid w:val="79891DD3"/>
    <w:rsid w:val="7B1A355F"/>
    <w:rsid w:val="7B362707"/>
    <w:rsid w:val="7B5E33BF"/>
    <w:rsid w:val="7B6B2747"/>
    <w:rsid w:val="7C0323A6"/>
    <w:rsid w:val="7CEE0A85"/>
    <w:rsid w:val="7D355BFB"/>
    <w:rsid w:val="7D5C0394"/>
    <w:rsid w:val="7D726ADF"/>
    <w:rsid w:val="7DB232C1"/>
    <w:rsid w:val="7DD615B1"/>
    <w:rsid w:val="7E28603C"/>
    <w:rsid w:val="7E36511A"/>
    <w:rsid w:val="7E8A5D41"/>
    <w:rsid w:val="7ED55D68"/>
    <w:rsid w:val="7EEA107E"/>
    <w:rsid w:val="7F016E7C"/>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 w:type="paragraph" w:customStyle="1" w:styleId="80">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86E3B9-6885-4035-9013-D04ACC3E6FDB}">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0</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2025-02-07T06:39:22Z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